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c496938f7496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15294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MALEŠNICA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3.815.982,24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4.255.838,87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3.662.719,92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4.383.178,27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127.339,40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114.821,57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150.765,42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114.821,57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150.765,42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278.104,82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su se povećali u odnosu na prošlu godinu zato što se povećala satnica pomoćnicima i osnovica za plaću. Ukupni rashodi su se također povećali u odnosu na prošlu godinu zbog povećanja satnice pomoćnicima i osnovice za plaću, ali i radi novog načina knjiženja plaće u kojem se plaće knjiže kao trošak koji još nije nastao. Manjak prihoda i primitaka je rezultat novog načina knjiženja plaće u kojem se plaće knjiže kao trošak koji još nije nastao.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723.319,67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871.537,44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Prihodi od nadležnog proračuna – iznos u visini 871.537,44 eur odnosi se plaće produženi boravak, vikendom u sportske dvorane, pomoćnike u nastavi, redovne materijalne troškove, sufinanciranje prehrane, školske odbore i ostale refundacije.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3.018.469,83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3.628.876,53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Rashodi za zaposlene – iznos u visini 3.628.876,53 eur i obuhvaća plaće za redovan rad, plaće za prekovremeni rad, ostale rashode - jubilarne nagrade, otpremnine, pomoći, regres, božićnice, dar djeci, mentorstva i stručne ispite u visini, te doprinose na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2.491.750,43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3.010.967,93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Došlo je do povećanja rashoda za plaće u odnosu na prošlu godinu, radi povećanja osnovice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8.423,21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607,9</w:t>
            </w:r>
          </w:p>
        </w:tc>
      </w:tr>
    </w:tbl>
    <w:p>
      <w:pPr>
        <w:spacing w:before="0" w:after="0"/>
      </w:pPr>
    </w:p>
    <w:p>
      <w:r>
        <w:t xml:space="preserve">Zbog izvođenja radova u školi u 2025. godini na ovaj konto knjižene su usluge agencija za nadzor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2214,9</w:t>
            </w:r>
          </w:p>
        </w:tc>
      </w:tr>
    </w:tbl>
    <w:p>
      <w:pPr>
        <w:spacing w:before="0" w:after="0"/>
      </w:pPr>
    </w:p>
    <w:p>
      <w:r>
        <w:t xml:space="preserve">Na ovoj konto knjižene su zaštitarske usluge za prvu polovicu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5.339,90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666,2</w:t>
            </w:r>
          </w:p>
        </w:tc>
      </w:tr>
    </w:tbl>
    <w:p>
      <w:pPr>
        <w:spacing w:before="0" w:after="0"/>
      </w:pPr>
    </w:p>
    <w:p>
      <w:r>
        <w:t xml:space="preserve">U 2025. godini je povećanje reprezentacije radi većeg broja događaja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281.536,83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1167,2</w:t>
            </w:r>
          </w:p>
        </w:tc>
      </w:tr>
    </w:tbl>
    <w:p>
      <w:pPr>
        <w:spacing w:before="0" w:after="0"/>
      </w:pPr>
    </w:p>
    <w:p>
      <w:r>
        <w:t xml:space="preserve">Radi promjene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114.821,57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150.765,42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iznose 150.765,42 eur i odnose se na nabavu uredske opreme i namještaja i udžbenika.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281.536,83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1167,2</w:t>
            </w:r>
          </w:p>
        </w:tc>
      </w:tr>
    </w:tbl>
    <w:p>
      <w:pPr>
        <w:spacing w:before="0" w:after="0"/>
      </w:pPr>
    </w:p>
    <w:p>
      <w:r>
        <w:t xml:space="preserve">Radi promjene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23.547,19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281.536,83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1195,6</w:t>
            </w:r>
          </w:p>
        </w:tc>
      </w:tr>
    </w:tbl>
    <w:p>
      <w:pPr>
        <w:spacing w:before="0" w:after="0"/>
      </w:pPr>
    </w:p>
    <w:p>
      <w:r>
        <w:t xml:space="preserve">Do odstupanja u odnosu na prošlu godinu je došlo radi promjene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281.536,83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1167,2</w:t>
            </w:r>
          </w:p>
        </w:tc>
      </w:tr>
    </w:tbl>
    <w:p>
      <w:pPr>
        <w:spacing w:before="0" w:after="0"/>
      </w:pPr>
    </w:p>
    <w:p>
      <w:r>
        <w:t xml:space="preserve">Do odstupanja u odnosu na prošlu godinu je došlo radi promjene načina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Radi isknjižavanja senzora za kvalitetu zraka i računala iz poslovnih knjiga službe za info.sustav i tehničke poslove i uknjižavanja u poslovnu knjigu korisnika odnosno osnovne škole Malešnica došlo je do povećanja obujma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48.320,96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Ovo stanje je rezultat prijenosa početnih stanja iz prethodnih godina kada se obveze očito nisu ispravno knjižile odnosno zatvarale, konkretno to su obveze prema dobavljačima iz starih godina i obveze pror. korisnika za povrat u proračun bolovanja MZOM, te računi koji su dospjeli do 31.12.2025., a nisu se stigli platiti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Prihodi za eu pomoćnike su veći ove godine zbog povećanja satnice, a radi toga su i rashodi veći u ovoj godini.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3e7a38baa46ad" /></Relationships>
</file>